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CF40" w14:textId="77777777" w:rsidR="008E1F96" w:rsidRPr="00B1417D" w:rsidRDefault="0092615F" w:rsidP="008E1F9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>F</w:t>
      </w:r>
      <w:r w:rsidR="008E1F96" w:rsidRPr="00B1417D">
        <w:rPr>
          <w:rFonts w:ascii="Times New Roman" w:hAnsi="Times New Roman" w:cs="Times New Roman"/>
          <w:b/>
          <w:sz w:val="28"/>
          <w:szCs w:val="28"/>
        </w:rPr>
        <w:t>ormelle Wirksamkeit der Beschlussfassung</w:t>
      </w:r>
    </w:p>
    <w:p w14:paraId="1558D279" w14:textId="77777777" w:rsidR="008E1F96" w:rsidRPr="00B1417D" w:rsidRDefault="008E1F96" w:rsidP="008E1F96">
      <w:pPr>
        <w:rPr>
          <w:rFonts w:ascii="Times New Roman" w:hAnsi="Times New Roman" w:cs="Times New Roman"/>
          <w:sz w:val="28"/>
          <w:szCs w:val="28"/>
        </w:rPr>
      </w:pPr>
    </w:p>
    <w:p w14:paraId="0B8F2821" w14:textId="77777777" w:rsidR="00006705" w:rsidRPr="00B1417D" w:rsidRDefault="00006705" w:rsidP="00006705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25147" w:rsidRPr="00B1417D">
        <w:rPr>
          <w:rFonts w:ascii="Times New Roman" w:hAnsi="Times New Roman" w:cs="Times New Roman"/>
          <w:sz w:val="28"/>
          <w:szCs w:val="28"/>
        </w:rPr>
        <w:t>G</w:t>
      </w:r>
      <w:r w:rsidR="008E1F96" w:rsidRPr="00B1417D">
        <w:rPr>
          <w:rFonts w:ascii="Times New Roman" w:hAnsi="Times New Roman" w:cs="Times New Roman"/>
          <w:sz w:val="28"/>
          <w:szCs w:val="28"/>
        </w:rPr>
        <w:t>rds</w:t>
      </w:r>
      <w:proofErr w:type="spellEnd"/>
      <w:r w:rsidR="008E1F96" w:rsidRPr="00B1417D">
        <w:rPr>
          <w:rFonts w:ascii="Times New Roman" w:hAnsi="Times New Roman" w:cs="Times New Roman"/>
          <w:sz w:val="28"/>
          <w:szCs w:val="28"/>
        </w:rPr>
        <w:t>. Einstimmigkeitserfordernis nach § 119 Abs. 1 HGB</w:t>
      </w:r>
      <w:r w:rsidRPr="00B141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327FF" w14:textId="77777777" w:rsidR="00006705" w:rsidRPr="00B1417D" w:rsidRDefault="00006705" w:rsidP="000067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22958" w14:textId="77777777" w:rsidR="008E1F96" w:rsidRPr="00B1417D" w:rsidRDefault="00006705" w:rsidP="00006705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2. </w:t>
      </w:r>
      <w:r w:rsidR="00825147" w:rsidRPr="00B1417D">
        <w:rPr>
          <w:rFonts w:ascii="Times New Roman" w:hAnsi="Times New Roman" w:cs="Times New Roman"/>
          <w:sz w:val="28"/>
          <w:szCs w:val="28"/>
        </w:rPr>
        <w:t>A</w:t>
      </w:r>
      <w:r w:rsidR="008E1F96" w:rsidRPr="00B1417D">
        <w:rPr>
          <w:rFonts w:ascii="Times New Roman" w:hAnsi="Times New Roman" w:cs="Times New Roman"/>
          <w:sz w:val="28"/>
          <w:szCs w:val="28"/>
        </w:rPr>
        <w:t>usnahmsweise Mehrheitsprinzip</w:t>
      </w:r>
      <w:r w:rsidR="00825147" w:rsidRPr="00B1417D">
        <w:rPr>
          <w:rFonts w:ascii="Times New Roman" w:hAnsi="Times New Roman" w:cs="Times New Roman"/>
          <w:sz w:val="28"/>
          <w:szCs w:val="28"/>
        </w:rPr>
        <w:t>, da d</w:t>
      </w:r>
      <w:r w:rsidR="008E1F96" w:rsidRPr="00B1417D">
        <w:rPr>
          <w:rFonts w:ascii="Times New Roman" w:hAnsi="Times New Roman" w:cs="Times New Roman"/>
          <w:sz w:val="28"/>
          <w:szCs w:val="28"/>
        </w:rPr>
        <w:t>as Einstimmigkeitserfordernis ist n</w:t>
      </w:r>
      <w:r w:rsidRPr="00B1417D">
        <w:rPr>
          <w:rFonts w:ascii="Times New Roman" w:hAnsi="Times New Roman" w:cs="Times New Roman"/>
          <w:sz w:val="28"/>
          <w:szCs w:val="28"/>
        </w:rPr>
        <w:t>ach § 119 Abs. 2 HGB dispositiv ist:</w:t>
      </w:r>
    </w:p>
    <w:p w14:paraId="7B98E849" w14:textId="77777777" w:rsidR="008E1F96" w:rsidRPr="00B1417D" w:rsidRDefault="008E1F96" w:rsidP="008E1F96">
      <w:pPr>
        <w:rPr>
          <w:rFonts w:ascii="Times New Roman" w:hAnsi="Times New Roman" w:cs="Times New Roman"/>
          <w:sz w:val="28"/>
          <w:szCs w:val="28"/>
        </w:rPr>
      </w:pPr>
    </w:p>
    <w:p w14:paraId="34143820" w14:textId="77777777" w:rsidR="008E1F96" w:rsidRPr="00B1417D" w:rsidRDefault="00006705" w:rsidP="008E1F96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F96" w:rsidRPr="00B141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417D">
        <w:rPr>
          <w:rFonts w:ascii="Times New Roman" w:hAnsi="Times New Roman" w:cs="Times New Roman"/>
          <w:sz w:val="28"/>
          <w:szCs w:val="28"/>
        </w:rPr>
        <w:t>2.1.</w:t>
      </w:r>
      <w:r w:rsidRPr="00B1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F96" w:rsidRPr="00B1417D">
        <w:rPr>
          <w:rFonts w:ascii="Times New Roman" w:hAnsi="Times New Roman" w:cs="Times New Roman"/>
          <w:sz w:val="28"/>
          <w:szCs w:val="28"/>
        </w:rPr>
        <w:t>Mehrheitsklausel im Gesellschaftsvertrag:</w:t>
      </w:r>
      <w:r w:rsidRPr="00B1417D">
        <w:rPr>
          <w:rFonts w:ascii="Times New Roman" w:hAnsi="Times New Roman" w:cs="Times New Roman"/>
          <w:sz w:val="28"/>
          <w:szCs w:val="28"/>
        </w:rPr>
        <w:t xml:space="preserve">   A</w:t>
      </w:r>
      <w:r w:rsidR="008E1F96" w:rsidRPr="00B1417D">
        <w:rPr>
          <w:rFonts w:ascii="Times New Roman" w:hAnsi="Times New Roman" w:cs="Times New Roman"/>
          <w:sz w:val="28"/>
          <w:szCs w:val="28"/>
        </w:rPr>
        <w:t>uslegung des Gesellschaftsvertrages nach §§ 133, 157 BGB.</w:t>
      </w:r>
    </w:p>
    <w:p w14:paraId="06B9E3FE" w14:textId="77777777" w:rsidR="00006705" w:rsidRPr="00B1417D" w:rsidRDefault="00006705" w:rsidP="008E1F96">
      <w:pPr>
        <w:rPr>
          <w:rFonts w:ascii="Times New Roman" w:hAnsi="Times New Roman" w:cs="Times New Roman"/>
          <w:sz w:val="28"/>
          <w:szCs w:val="28"/>
        </w:rPr>
      </w:pPr>
    </w:p>
    <w:p w14:paraId="246C3BE0" w14:textId="77777777" w:rsidR="00006705" w:rsidRPr="00B1417D" w:rsidRDefault="00006705" w:rsidP="008E1F96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   2.2. Bestimmtheit der Klausel ?</w:t>
      </w:r>
    </w:p>
    <w:p w14:paraId="6741C77B" w14:textId="77777777" w:rsidR="00006705" w:rsidRPr="00B1417D" w:rsidRDefault="00006705" w:rsidP="008E1F96">
      <w:pPr>
        <w:rPr>
          <w:rFonts w:ascii="Times New Roman" w:hAnsi="Times New Roman" w:cs="Times New Roman"/>
          <w:sz w:val="28"/>
          <w:szCs w:val="28"/>
        </w:rPr>
      </w:pPr>
    </w:p>
    <w:p w14:paraId="618EA1FB" w14:textId="77777777" w:rsidR="00006705" w:rsidRPr="00B1417D" w:rsidRDefault="00006705" w:rsidP="00006705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Frühere </w:t>
      </w:r>
      <w:proofErr w:type="spellStart"/>
      <w:r w:rsidRPr="00B1417D">
        <w:rPr>
          <w:rFonts w:ascii="Times New Roman" w:hAnsi="Times New Roman" w:cs="Times New Roman"/>
          <w:sz w:val="28"/>
          <w:szCs w:val="28"/>
        </w:rPr>
        <w:t>Rspr</w:t>
      </w:r>
      <w:proofErr w:type="spellEnd"/>
      <w:r w:rsidRPr="00B1417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7E91464" w14:textId="77777777" w:rsidR="00006705" w:rsidRPr="00B1417D" w:rsidRDefault="00006705" w:rsidP="00006705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allgemeine Mehrheitsklauseln seien auf „gewöhnliche“ Beschlussgegenstände beschränkt; Erfassung von Grundlagengeschäften erfordere </w:t>
      </w:r>
      <w:r w:rsidRPr="00B1417D">
        <w:rPr>
          <w:rFonts w:ascii="Times New Roman" w:hAnsi="Times New Roman" w:cs="Times New Roman"/>
          <w:i/>
          <w:sz w:val="28"/>
          <w:szCs w:val="28"/>
        </w:rPr>
        <w:t>ausdrückliche</w:t>
      </w:r>
      <w:r w:rsidRPr="00B1417D">
        <w:rPr>
          <w:rFonts w:ascii="Times New Roman" w:hAnsi="Times New Roman" w:cs="Times New Roman"/>
          <w:sz w:val="28"/>
          <w:szCs w:val="28"/>
        </w:rPr>
        <w:t xml:space="preserve"> Nennung.</w:t>
      </w:r>
    </w:p>
    <w:p w14:paraId="03C023FD" w14:textId="77777777" w:rsidR="00006705" w:rsidRPr="00B1417D" w:rsidRDefault="00006705" w:rsidP="00006705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Änderung der </w:t>
      </w:r>
      <w:proofErr w:type="spellStart"/>
      <w:r w:rsidRPr="00B1417D">
        <w:rPr>
          <w:rFonts w:ascii="Times New Roman" w:hAnsi="Times New Roman" w:cs="Times New Roman"/>
          <w:sz w:val="28"/>
          <w:szCs w:val="28"/>
        </w:rPr>
        <w:t>Rspr</w:t>
      </w:r>
      <w:proofErr w:type="spellEnd"/>
      <w:r w:rsidRPr="00B1417D">
        <w:rPr>
          <w:rFonts w:ascii="Times New Roman" w:hAnsi="Times New Roman" w:cs="Times New Roman"/>
          <w:sz w:val="28"/>
          <w:szCs w:val="28"/>
        </w:rPr>
        <w:t>. (seit der OTTO-Entscheidung und neulich BGH v. 21.10.2014 – II ZR 84/13</w:t>
      </w:r>
      <w:r w:rsidR="00B1417D">
        <w:rPr>
          <w:rFonts w:ascii="Times New Roman" w:hAnsi="Times New Roman" w:cs="Times New Roman"/>
          <w:sz w:val="28"/>
          <w:szCs w:val="28"/>
        </w:rPr>
        <w:t>)</w:t>
      </w:r>
      <w:r w:rsidRPr="00B1417D">
        <w:rPr>
          <w:rFonts w:ascii="Times New Roman" w:hAnsi="Times New Roman" w:cs="Times New Roman"/>
          <w:sz w:val="28"/>
          <w:szCs w:val="28"/>
        </w:rPr>
        <w:t>:</w:t>
      </w:r>
    </w:p>
    <w:p w14:paraId="7D314459" w14:textId="77777777" w:rsidR="00006705" w:rsidRPr="00B1417D" w:rsidRDefault="00006705" w:rsidP="00006705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der Bestimmtheitsgrundsatz erfordere keine besondere Nennung von Grundlagengeschäften; </w:t>
      </w:r>
    </w:p>
    <w:p w14:paraId="6618074F" w14:textId="77777777" w:rsidR="00006705" w:rsidRPr="00B1417D" w:rsidRDefault="00006705" w:rsidP="00006705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auch Grundlagengeschäfte seien von einer allgemeinen Mehrheitsklausel erfasst, wenn nach Auslegung der Klausel keine Einschränkungen erkennbar sind.</w:t>
      </w:r>
    </w:p>
    <w:p w14:paraId="42DD6101" w14:textId="77777777" w:rsidR="00006705" w:rsidRPr="00B1417D" w:rsidRDefault="00006705" w:rsidP="008E1F96">
      <w:pPr>
        <w:rPr>
          <w:rFonts w:ascii="Times New Roman" w:hAnsi="Times New Roman" w:cs="Times New Roman"/>
          <w:sz w:val="28"/>
          <w:szCs w:val="28"/>
        </w:rPr>
      </w:pPr>
    </w:p>
    <w:p w14:paraId="41DF2E24" w14:textId="77777777" w:rsidR="00825147" w:rsidRPr="00B1417D" w:rsidRDefault="00825147" w:rsidP="00006705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Hier: Die Feststellung des Jahresabschlusses ist kein gewöhnlicher Beschlussgegenstand</w:t>
      </w:r>
    </w:p>
    <w:p w14:paraId="29F9FF8F" w14:textId="77777777" w:rsidR="00825147" w:rsidRPr="00B1417D" w:rsidRDefault="00825147" w:rsidP="0082514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6CDDAAD" w14:textId="77777777" w:rsidR="00825147" w:rsidRPr="00B1417D" w:rsidRDefault="00825147" w:rsidP="00825147">
      <w:pPr>
        <w:rPr>
          <w:rFonts w:ascii="Times New Roman" w:hAnsi="Times New Roman" w:cs="Times New Roman"/>
          <w:b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>Anmerkung:</w:t>
      </w:r>
    </w:p>
    <w:p w14:paraId="524B14DC" w14:textId="77777777" w:rsidR="00825147" w:rsidRPr="00B1417D" w:rsidRDefault="00825147" w:rsidP="00825147">
      <w:pPr>
        <w:rPr>
          <w:rFonts w:ascii="Times New Roman" w:hAnsi="Times New Roman" w:cs="Times New Roman"/>
          <w:sz w:val="28"/>
          <w:szCs w:val="28"/>
        </w:rPr>
      </w:pPr>
    </w:p>
    <w:p w14:paraId="256C190F" w14:textId="77777777" w:rsidR="00825147" w:rsidRPr="00B1417D" w:rsidRDefault="00825147" w:rsidP="00B1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Die Feststellung des Jahresabschlusses einer Personengesellschaft ist im Gegensatz zu dessen Aufstellung keine bloße Geschäftsführungsmaßnahme, welche in die alleinige Kompetenz der geschäftsführenden Gesellschafter fiele, sondern ein </w:t>
      </w:r>
      <w:r w:rsidR="00006705" w:rsidRPr="00B1417D">
        <w:rPr>
          <w:rFonts w:ascii="Times New Roman" w:hAnsi="Times New Roman" w:cs="Times New Roman"/>
          <w:sz w:val="28"/>
          <w:szCs w:val="28"/>
        </w:rPr>
        <w:t>G</w:t>
      </w:r>
      <w:r w:rsidRPr="00B1417D">
        <w:rPr>
          <w:rFonts w:ascii="Times New Roman" w:hAnsi="Times New Roman" w:cs="Times New Roman"/>
          <w:sz w:val="28"/>
          <w:szCs w:val="28"/>
        </w:rPr>
        <w:t>rundlagen</w:t>
      </w:r>
      <w:r w:rsidR="00006705" w:rsidRPr="00B1417D">
        <w:rPr>
          <w:rFonts w:ascii="Times New Roman" w:hAnsi="Times New Roman" w:cs="Times New Roman"/>
          <w:sz w:val="28"/>
          <w:szCs w:val="28"/>
        </w:rPr>
        <w:t>-</w:t>
      </w:r>
      <w:r w:rsidRPr="00B1417D">
        <w:rPr>
          <w:rFonts w:ascii="Times New Roman" w:hAnsi="Times New Roman" w:cs="Times New Roman"/>
          <w:sz w:val="28"/>
          <w:szCs w:val="28"/>
        </w:rPr>
        <w:t xml:space="preserve">geschäft" i.S.  einer den Gesellschaftern obliegenden Angelegenheit der laufenden Verwaltung . </w:t>
      </w:r>
    </w:p>
    <w:p w14:paraId="3F0A25D2" w14:textId="77777777" w:rsidR="00825147" w:rsidRPr="00B1417D" w:rsidRDefault="00825147" w:rsidP="00B14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9CD2C" w14:textId="77777777" w:rsidR="00825147" w:rsidRPr="00B1417D" w:rsidRDefault="00825147" w:rsidP="00B1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Aber aus § 119 II HGB ergibt sich, dass das für Gesellschafterbeschlüsse in einer OHG oder KG geltende Einstimmigkeitsprinzip des § 119 I HGB nicht nur für einfache Geschäftsführungsangelegenheiten, sondern auch darüber hinaus grundsätzlich dispositiv ist. </w:t>
      </w:r>
    </w:p>
    <w:p w14:paraId="2720C955" w14:textId="77777777" w:rsidR="00006705" w:rsidRPr="00B1417D" w:rsidRDefault="00006705" w:rsidP="00825147">
      <w:pPr>
        <w:rPr>
          <w:rFonts w:ascii="Times New Roman" w:hAnsi="Times New Roman" w:cs="Times New Roman"/>
          <w:sz w:val="28"/>
          <w:szCs w:val="28"/>
        </w:rPr>
      </w:pPr>
    </w:p>
    <w:p w14:paraId="2FD88C22" w14:textId="77777777" w:rsidR="00006705" w:rsidRPr="00B1417D" w:rsidRDefault="00006705" w:rsidP="000067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Explizite Benennung in der Mehrheitsklausel (-)</w:t>
      </w:r>
    </w:p>
    <w:p w14:paraId="2184CE6B" w14:textId="77777777" w:rsidR="00006705" w:rsidRPr="00B1417D" w:rsidRDefault="00006705" w:rsidP="00006705">
      <w:pPr>
        <w:rPr>
          <w:rFonts w:ascii="Times New Roman" w:hAnsi="Times New Roman" w:cs="Times New Roman"/>
          <w:sz w:val="28"/>
          <w:szCs w:val="28"/>
        </w:rPr>
      </w:pPr>
    </w:p>
    <w:p w14:paraId="7EEF9F15" w14:textId="77777777" w:rsidR="00006705" w:rsidRPr="00B1417D" w:rsidRDefault="00006705" w:rsidP="0000670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Implizite Betrachtung aus der Gesamtschau des Vertrages: </w:t>
      </w:r>
    </w:p>
    <w:p w14:paraId="49B6DC05" w14:textId="77777777" w:rsidR="00006705" w:rsidRPr="00B1417D" w:rsidRDefault="00006705" w:rsidP="00006705">
      <w:pPr>
        <w:rPr>
          <w:rFonts w:ascii="Times New Roman" w:hAnsi="Times New Roman" w:cs="Times New Roman"/>
          <w:sz w:val="28"/>
          <w:szCs w:val="28"/>
        </w:rPr>
      </w:pPr>
    </w:p>
    <w:p w14:paraId="07237B2B" w14:textId="77777777" w:rsidR="00006705" w:rsidRPr="00B1417D" w:rsidRDefault="0000670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lastRenderedPageBreak/>
        <w:t>Die Beschlussgegenstände, die einer qualifizierten Mehrheit unterliegen, wurden explizit aufgezählt. Die Feststellung des Jahresabschlusses wurde nicht genannt.</w:t>
      </w:r>
    </w:p>
    <w:p w14:paraId="7738E1CE" w14:textId="77777777" w:rsidR="00006705" w:rsidRPr="00B1417D" w:rsidRDefault="0000670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Deshalb bedarf die Feststellung nicht der qualifizierten Mehrheit der abgegebenen Stimmen. Die einfache Mehrheit reicht damit aus.</w:t>
      </w:r>
    </w:p>
    <w:p w14:paraId="5C3B9D16" w14:textId="77777777" w:rsidR="00825147" w:rsidRPr="00B1417D" w:rsidRDefault="00825147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63B91" w14:textId="77777777" w:rsidR="00B1417D" w:rsidRDefault="0000670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Also: </w:t>
      </w:r>
    </w:p>
    <w:p w14:paraId="68281D10" w14:textId="77777777" w:rsidR="00825147" w:rsidRPr="00B1417D" w:rsidRDefault="0000670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Die Grundlagengeschäfte sind von der allgemeinen Klausel </w:t>
      </w:r>
      <w:r w:rsidR="0092615F" w:rsidRPr="00B1417D">
        <w:rPr>
          <w:rFonts w:ascii="Times New Roman" w:hAnsi="Times New Roman" w:cs="Times New Roman"/>
          <w:sz w:val="28"/>
          <w:szCs w:val="28"/>
        </w:rPr>
        <w:t>im Punkt 1. erfasst, da nach Auslegung keine Einschränkungen erkennbar sind.</w:t>
      </w:r>
    </w:p>
    <w:p w14:paraId="65EFE486" w14:textId="77777777" w:rsidR="008E1F96" w:rsidRPr="00B1417D" w:rsidRDefault="008E1F96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D03B" w14:textId="77777777" w:rsidR="008E1F96" w:rsidRPr="00B1417D" w:rsidRDefault="008E1F96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74253" w14:textId="77777777" w:rsidR="008E1F96" w:rsidRPr="00B1417D" w:rsidRDefault="0092615F" w:rsidP="00166DE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>M</w:t>
      </w:r>
      <w:r w:rsidR="008E1F96" w:rsidRPr="00B1417D">
        <w:rPr>
          <w:rFonts w:ascii="Times New Roman" w:hAnsi="Times New Roman" w:cs="Times New Roman"/>
          <w:b/>
          <w:sz w:val="28"/>
          <w:szCs w:val="28"/>
        </w:rPr>
        <w:t>aterielle Wirksamkeit der Beschlussfassung</w:t>
      </w:r>
      <w:r w:rsidRPr="00B1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17D">
        <w:rPr>
          <w:rFonts w:ascii="Times New Roman" w:hAnsi="Times New Roman" w:cs="Times New Roman"/>
          <w:sz w:val="28"/>
          <w:szCs w:val="28"/>
        </w:rPr>
        <w:t>(</w:t>
      </w:r>
      <w:r w:rsidR="008E1F96" w:rsidRPr="00B1417D">
        <w:rPr>
          <w:rFonts w:ascii="Times New Roman" w:hAnsi="Times New Roman" w:cs="Times New Roman"/>
          <w:sz w:val="28"/>
          <w:szCs w:val="28"/>
        </w:rPr>
        <w:t>inhaltliche Prüfung der Beschlussfassung</w:t>
      </w:r>
      <w:r w:rsidRPr="00B1417D">
        <w:rPr>
          <w:rFonts w:ascii="Times New Roman" w:hAnsi="Times New Roman" w:cs="Times New Roman"/>
          <w:sz w:val="28"/>
          <w:szCs w:val="28"/>
        </w:rPr>
        <w:t xml:space="preserve">, </w:t>
      </w:r>
      <w:r w:rsidR="008E1F96" w:rsidRPr="00B1417D">
        <w:rPr>
          <w:rFonts w:ascii="Times New Roman" w:hAnsi="Times New Roman" w:cs="Times New Roman"/>
          <w:sz w:val="28"/>
          <w:szCs w:val="28"/>
        </w:rPr>
        <w:t>Überprüfung auf Beschlussmängel</w:t>
      </w:r>
      <w:r w:rsidRPr="00B1417D">
        <w:rPr>
          <w:rFonts w:ascii="Times New Roman" w:hAnsi="Times New Roman" w:cs="Times New Roman"/>
          <w:sz w:val="28"/>
          <w:szCs w:val="28"/>
        </w:rPr>
        <w:t>)</w:t>
      </w:r>
    </w:p>
    <w:p w14:paraId="29282A4B" w14:textId="77777777" w:rsidR="008E1F96" w:rsidRPr="00B1417D" w:rsidRDefault="008E1F96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B454F" w14:textId="77777777" w:rsidR="0092615F" w:rsidRPr="00B1417D" w:rsidRDefault="008E1F96" w:rsidP="00166D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Besondere Beschlussmängel</w:t>
      </w:r>
      <w:r w:rsidR="0092615F" w:rsidRPr="00B141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CE94CE" w14:textId="77777777" w:rsidR="0092615F" w:rsidRPr="00B1417D" w:rsidRDefault="0092615F" w:rsidP="00166DE9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(wenn z.B. die Zustimmung jedes betroffenen Gesellschafters erforderlich ist:</w:t>
      </w:r>
    </w:p>
    <w:p w14:paraId="202F8A04" w14:textId="77777777" w:rsidR="0092615F" w:rsidRPr="00B1417D" w:rsidRDefault="0092615F" w:rsidP="00166DE9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ACE7380" w14:textId="77777777" w:rsidR="0092615F" w:rsidRPr="00B1417D" w:rsidRDefault="0092615F" w:rsidP="00166DE9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 bei der Beitragserhöhung ergibt sich aus §§ 105 Abs. 3 HGB,707 BGB; die Möglichkeit einer antizipierten Zustimmung im Gesellschaftsvertrag muss auch beachtet werden).</w:t>
      </w:r>
    </w:p>
    <w:p w14:paraId="3D31CA3F" w14:textId="77777777" w:rsidR="0092615F" w:rsidRPr="00B1417D" w:rsidRDefault="0092615F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A289712" w14:textId="77777777" w:rsidR="008E1F96" w:rsidRPr="00B1417D" w:rsidRDefault="0092615F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              Hier aber keine besondere Beschlussmängel (-) </w:t>
      </w:r>
    </w:p>
    <w:p w14:paraId="4238729E" w14:textId="77777777" w:rsidR="0092615F" w:rsidRPr="00B1417D" w:rsidRDefault="0092615F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1F284" w14:textId="77777777" w:rsidR="0092615F" w:rsidRPr="00B1417D" w:rsidRDefault="0092615F" w:rsidP="00166D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2.  Allgemeine Beschlussmängel:</w:t>
      </w:r>
    </w:p>
    <w:p w14:paraId="1C1160A3" w14:textId="77777777" w:rsidR="0092615F" w:rsidRPr="00B1417D" w:rsidRDefault="0092615F" w:rsidP="00166D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1B506E8" w14:textId="77777777" w:rsidR="0092615F" w:rsidRDefault="0092615F" w:rsidP="00166DE9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Verletzung der Treupflicht (der Mehrheit der Gesellschafter </w:t>
      </w:r>
      <w:proofErr w:type="spellStart"/>
      <w:r w:rsidRPr="00B1417D">
        <w:rPr>
          <w:rFonts w:ascii="Times New Roman" w:hAnsi="Times New Roman" w:cs="Times New Roman"/>
          <w:sz w:val="28"/>
          <w:szCs w:val="28"/>
        </w:rPr>
        <w:t>ggü</w:t>
      </w:r>
      <w:proofErr w:type="spellEnd"/>
      <w:r w:rsidRPr="00B1417D">
        <w:rPr>
          <w:rFonts w:ascii="Times New Roman" w:hAnsi="Times New Roman" w:cs="Times New Roman"/>
          <w:sz w:val="28"/>
          <w:szCs w:val="28"/>
        </w:rPr>
        <w:t>. der Minderheit) oder den Gleichbehandlungsgrundsatz</w:t>
      </w:r>
      <w:r w:rsidR="00B1417D" w:rsidRPr="00B1417D">
        <w:rPr>
          <w:rFonts w:ascii="Times New Roman" w:hAnsi="Times New Roman" w:cs="Times New Roman"/>
          <w:sz w:val="28"/>
          <w:szCs w:val="28"/>
        </w:rPr>
        <w:t>:</w:t>
      </w:r>
    </w:p>
    <w:p w14:paraId="78D6ED3C" w14:textId="77777777" w:rsidR="00B1417D" w:rsidRPr="00B1417D" w:rsidRDefault="00B1417D" w:rsidP="00166DE9">
      <w:pPr>
        <w:pStyle w:val="Listenabsatz"/>
        <w:jc w:val="both"/>
        <w:rPr>
          <w:rFonts w:ascii="Times New Roman" w:hAnsi="Times New Roman" w:cs="Times New Roman"/>
          <w:sz w:val="28"/>
          <w:szCs w:val="28"/>
        </w:rPr>
      </w:pPr>
    </w:p>
    <w:p w14:paraId="685819C5" w14:textId="77777777" w:rsidR="00B1417D" w:rsidRPr="00B1417D" w:rsidRDefault="00B1417D" w:rsidP="00166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>Anmerkung:</w:t>
      </w:r>
    </w:p>
    <w:p w14:paraId="16E187E4" w14:textId="77777777" w:rsidR="00B1417D" w:rsidRPr="00B1417D" w:rsidRDefault="00B1417D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6E9D4" w14:textId="77777777" w:rsidR="00B1417D" w:rsidRPr="00B1417D" w:rsidRDefault="00B1417D" w:rsidP="00166D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7D">
        <w:rPr>
          <w:rFonts w:ascii="Times New Roman" w:hAnsi="Times New Roman" w:cs="Times New Roman"/>
          <w:b/>
          <w:i/>
          <w:sz w:val="28"/>
          <w:szCs w:val="28"/>
        </w:rPr>
        <w:t>Verletzung der Treupflicht:</w:t>
      </w:r>
    </w:p>
    <w:p w14:paraId="20E5461B" w14:textId="77777777" w:rsidR="00B1417D" w:rsidRPr="00B1417D" w:rsidRDefault="00B1417D" w:rsidP="00166DE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6BF365A" w14:textId="77777777" w:rsidR="00B1417D" w:rsidRPr="00B1417D" w:rsidRDefault="00B1417D" w:rsidP="00166D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-  wenn Erhöhung nicht durch entsprechenden Kapitalbedarf der Gesellschaft veranlasst ist, sondern zur Verdrängung von finanzschwachen Gesellschaftern dient</w:t>
      </w:r>
    </w:p>
    <w:p w14:paraId="4094EB8B" w14:textId="77777777" w:rsidR="00B1417D" w:rsidRPr="00B1417D" w:rsidRDefault="00B1417D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- wenn Erhöhung nicht verhältnismäßig ist</w:t>
      </w:r>
    </w:p>
    <w:p w14:paraId="2C1D0CF6" w14:textId="77777777" w:rsidR="00B1417D" w:rsidRPr="00B1417D" w:rsidRDefault="00B1417D" w:rsidP="00166D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870E8F" w14:textId="77777777" w:rsidR="00B1417D" w:rsidRPr="00B1417D" w:rsidRDefault="00B1417D" w:rsidP="00166D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17D">
        <w:rPr>
          <w:rFonts w:ascii="Times New Roman" w:hAnsi="Times New Roman" w:cs="Times New Roman"/>
          <w:b/>
          <w:i/>
          <w:sz w:val="28"/>
          <w:szCs w:val="28"/>
        </w:rPr>
        <w:t>Verletzung des Gleichbehandlungsgrundsatzes</w:t>
      </w:r>
    </w:p>
    <w:p w14:paraId="654671F1" w14:textId="77777777" w:rsidR="00B1417D" w:rsidRPr="00B1417D" w:rsidRDefault="00B1417D" w:rsidP="00166DE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A8E1D44" w14:textId="77777777" w:rsidR="00B1417D" w:rsidRPr="00B1417D" w:rsidRDefault="00B1417D" w:rsidP="00166D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- wenn Beschluss rechtlich oder faktisch (durch die Art der Beiträge) der Minderheit nicht die gleiche Chance auf Teilnahme an der Erhöhung einräumt)</w:t>
      </w:r>
    </w:p>
    <w:p w14:paraId="19059711" w14:textId="77777777" w:rsidR="00B1417D" w:rsidRPr="00B1417D" w:rsidRDefault="00B1417D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12718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Es kommt darauf an, ob die Gesellschaftermehrheit die inhaltlichen Grenzen der ihr erteilten Ermächtigung eingehalten hat und sie sich nicht etwa treupflichtwidrig über beachtenswerte Belange der Minderheit hinweggesetzt hat. </w:t>
      </w:r>
    </w:p>
    <w:p w14:paraId="23C574E0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16ED8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Die Minderheit hat den Nachweis einer treupflichtwidrigen Mehrheits</w:t>
      </w:r>
      <w:r w:rsidR="00B1417D">
        <w:rPr>
          <w:rFonts w:ascii="Times New Roman" w:hAnsi="Times New Roman" w:cs="Times New Roman"/>
          <w:sz w:val="28"/>
          <w:szCs w:val="28"/>
        </w:rPr>
        <w:t>-</w:t>
      </w:r>
      <w:r w:rsidRPr="00B1417D">
        <w:rPr>
          <w:rFonts w:ascii="Times New Roman" w:hAnsi="Times New Roman" w:cs="Times New Roman"/>
          <w:sz w:val="28"/>
          <w:szCs w:val="28"/>
        </w:rPr>
        <w:t>entscheidung zu führen</w:t>
      </w:r>
      <w:r w:rsidR="00B1417D">
        <w:rPr>
          <w:rFonts w:ascii="Times New Roman" w:hAnsi="Times New Roman" w:cs="Times New Roman"/>
          <w:sz w:val="28"/>
          <w:szCs w:val="28"/>
        </w:rPr>
        <w:t xml:space="preserve"> (Ausn</w:t>
      </w:r>
      <w:r w:rsidR="00166DE9">
        <w:rPr>
          <w:rFonts w:ascii="Times New Roman" w:hAnsi="Times New Roman" w:cs="Times New Roman"/>
          <w:sz w:val="28"/>
          <w:szCs w:val="28"/>
        </w:rPr>
        <w:t>ahme</w:t>
      </w:r>
      <w:r w:rsidR="00B1417D">
        <w:rPr>
          <w:rFonts w:ascii="Times New Roman" w:hAnsi="Times New Roman" w:cs="Times New Roman"/>
          <w:sz w:val="28"/>
          <w:szCs w:val="28"/>
        </w:rPr>
        <w:t>: Grundlagengeschäfte)</w:t>
      </w:r>
    </w:p>
    <w:p w14:paraId="42A63A85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1FE94A" w14:textId="77777777" w:rsidR="00B1417D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Hier: </w:t>
      </w:r>
    </w:p>
    <w:p w14:paraId="2945A815" w14:textId="77777777" w:rsidR="00B1417D" w:rsidRPr="00B1417D" w:rsidRDefault="00B1417D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DEC31" w14:textId="77777777" w:rsidR="0040559B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Der Jahresabschluss und dessen Feststellung </w:t>
      </w:r>
      <w:r w:rsidR="00166DE9" w:rsidRPr="00B1417D">
        <w:rPr>
          <w:rFonts w:ascii="Times New Roman" w:hAnsi="Times New Roman" w:cs="Times New Roman"/>
          <w:sz w:val="28"/>
          <w:szCs w:val="28"/>
        </w:rPr>
        <w:t>sind im Grundsatz interesseneu</w:t>
      </w:r>
      <w:r w:rsidR="00166DE9">
        <w:rPr>
          <w:rFonts w:ascii="Times New Roman" w:hAnsi="Times New Roman" w:cs="Times New Roman"/>
          <w:sz w:val="28"/>
          <w:szCs w:val="28"/>
        </w:rPr>
        <w:t>trale Voraussetzungen für die</w:t>
      </w:r>
      <w:r w:rsidR="00166DE9" w:rsidRPr="00B1417D">
        <w:rPr>
          <w:rFonts w:ascii="Times New Roman" w:hAnsi="Times New Roman" w:cs="Times New Roman"/>
          <w:sz w:val="28"/>
          <w:szCs w:val="28"/>
        </w:rPr>
        <w:t xml:space="preserve"> Berechnung</w:t>
      </w:r>
      <w:r w:rsidR="00166DE9">
        <w:rPr>
          <w:rFonts w:ascii="Times New Roman" w:hAnsi="Times New Roman" w:cs="Times New Roman"/>
          <w:sz w:val="28"/>
          <w:szCs w:val="28"/>
        </w:rPr>
        <w:t xml:space="preserve"> eines bestehenden Gewinnanspruchs (§ 120 Abs. 1 HGB) und </w:t>
      </w:r>
      <w:r w:rsidRPr="00B1417D">
        <w:rPr>
          <w:rFonts w:ascii="Times New Roman" w:hAnsi="Times New Roman" w:cs="Times New Roman"/>
          <w:sz w:val="28"/>
          <w:szCs w:val="28"/>
        </w:rPr>
        <w:t xml:space="preserve">enthalten </w:t>
      </w:r>
      <w:r w:rsidR="00166DE9">
        <w:rPr>
          <w:rFonts w:ascii="Times New Roman" w:hAnsi="Times New Roman" w:cs="Times New Roman"/>
          <w:sz w:val="28"/>
          <w:szCs w:val="28"/>
        </w:rPr>
        <w:t xml:space="preserve">deshalb </w:t>
      </w:r>
      <w:r w:rsidRPr="00B1417D">
        <w:rPr>
          <w:rFonts w:ascii="Times New Roman" w:hAnsi="Times New Roman" w:cs="Times New Roman"/>
          <w:sz w:val="28"/>
          <w:szCs w:val="28"/>
        </w:rPr>
        <w:t>nicht per se einen "Eingriff" in einen (beste</w:t>
      </w:r>
      <w:r w:rsidR="00166DE9">
        <w:rPr>
          <w:rFonts w:ascii="Times New Roman" w:hAnsi="Times New Roman" w:cs="Times New Roman"/>
          <w:sz w:val="28"/>
          <w:szCs w:val="28"/>
        </w:rPr>
        <w:t xml:space="preserve">henden) Gewinnanspruch. </w:t>
      </w:r>
      <w:r w:rsidR="0040559B">
        <w:rPr>
          <w:rFonts w:ascii="Times New Roman" w:hAnsi="Times New Roman" w:cs="Times New Roman"/>
          <w:sz w:val="28"/>
          <w:szCs w:val="28"/>
        </w:rPr>
        <w:t>B</w:t>
      </w:r>
      <w:r w:rsidR="0040559B" w:rsidRPr="0040559B">
        <w:rPr>
          <w:rFonts w:ascii="Times New Roman" w:hAnsi="Times New Roman" w:cs="Times New Roman"/>
          <w:sz w:val="28"/>
          <w:szCs w:val="28"/>
        </w:rPr>
        <w:t>ei der Bilanzaufstellung sind</w:t>
      </w:r>
      <w:r w:rsidR="0040559B">
        <w:rPr>
          <w:rFonts w:ascii="Times New Roman" w:hAnsi="Times New Roman" w:cs="Times New Roman"/>
          <w:sz w:val="28"/>
          <w:szCs w:val="28"/>
        </w:rPr>
        <w:t xml:space="preserve"> zwar b</w:t>
      </w:r>
      <w:r w:rsidR="0040559B" w:rsidRPr="0040559B">
        <w:rPr>
          <w:rFonts w:ascii="Times New Roman" w:hAnsi="Times New Roman" w:cs="Times New Roman"/>
          <w:sz w:val="28"/>
          <w:szCs w:val="28"/>
        </w:rPr>
        <w:t xml:space="preserve">ilanzielle Ansatz- und Bewertungswahlrechte </w:t>
      </w:r>
      <w:r w:rsidR="0040559B">
        <w:rPr>
          <w:rFonts w:ascii="Times New Roman" w:hAnsi="Times New Roman" w:cs="Times New Roman"/>
          <w:sz w:val="28"/>
          <w:szCs w:val="28"/>
        </w:rPr>
        <w:t>zu berücksichtigen und</w:t>
      </w:r>
      <w:r w:rsidR="0040559B" w:rsidRPr="0040559B">
        <w:rPr>
          <w:rFonts w:ascii="Times New Roman" w:hAnsi="Times New Roman" w:cs="Times New Roman"/>
          <w:sz w:val="28"/>
          <w:szCs w:val="28"/>
        </w:rPr>
        <w:t xml:space="preserve"> können zwar die Höhe des Gewinns beeinflussen, </w:t>
      </w:r>
      <w:r w:rsidR="0040559B">
        <w:rPr>
          <w:rFonts w:ascii="Times New Roman" w:hAnsi="Times New Roman" w:cs="Times New Roman"/>
          <w:sz w:val="28"/>
          <w:szCs w:val="28"/>
        </w:rPr>
        <w:t xml:space="preserve">sie wirken </w:t>
      </w:r>
      <w:r w:rsidR="0040559B" w:rsidRPr="0040559B">
        <w:rPr>
          <w:rFonts w:ascii="Times New Roman" w:hAnsi="Times New Roman" w:cs="Times New Roman"/>
          <w:sz w:val="28"/>
          <w:szCs w:val="28"/>
        </w:rPr>
        <w:t>sich aber je nach Sachlage zu dessen Gunsten wie zu dessen Lasten aus.</w:t>
      </w:r>
      <w:r w:rsidR="0040559B">
        <w:rPr>
          <w:rFonts w:ascii="Times New Roman" w:hAnsi="Times New Roman" w:cs="Times New Roman"/>
          <w:sz w:val="28"/>
          <w:szCs w:val="28"/>
        </w:rPr>
        <w:t xml:space="preserve"> Das gilt dann auch für alle Gesellschafter.</w:t>
      </w:r>
    </w:p>
    <w:p w14:paraId="786B0756" w14:textId="77777777" w:rsidR="0040559B" w:rsidRDefault="0040559B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03AC0" w14:textId="43244B74" w:rsidR="00212E7A" w:rsidRDefault="0040559B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40559B">
        <w:rPr>
          <w:rFonts w:ascii="Times New Roman" w:hAnsi="Times New Roman" w:cs="Times New Roman"/>
          <w:sz w:val="28"/>
          <w:szCs w:val="28"/>
        </w:rPr>
        <w:t>Allenfalls kann sich im Einzelfall die Frage stellen, ob die konkrete Beschlussfassung treuwidrig in das zum Kernbereich der Mitgliedschaftsrechte der Minderheit gehörende Gewinnrecht eingreift</w:t>
      </w:r>
      <w:r w:rsidR="0079045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1406B668" w14:textId="77777777" w:rsidR="00212E7A" w:rsidRDefault="00212E7A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09D3" w14:textId="1DF4606F" w:rsidR="00212E7A" w:rsidRDefault="00212E7A" w:rsidP="007904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(- z.B. wenn d</w:t>
      </w:r>
      <w:r w:rsidRPr="00212E7A">
        <w:rPr>
          <w:rFonts w:ascii="Times New Roman" w:hAnsi="Times New Roman" w:cs="Times New Roman"/>
          <w:sz w:val="28"/>
          <w:szCs w:val="28"/>
        </w:rPr>
        <w:t>ie von der Gesellschafterversammlu</w:t>
      </w:r>
      <w:r w:rsidR="00790453">
        <w:rPr>
          <w:rFonts w:ascii="Times New Roman" w:hAnsi="Times New Roman" w:cs="Times New Roman"/>
          <w:sz w:val="28"/>
          <w:szCs w:val="28"/>
        </w:rPr>
        <w:t xml:space="preserve">ng getroffene Entscheidung </w:t>
      </w:r>
      <w:r w:rsidRPr="00212E7A">
        <w:rPr>
          <w:rFonts w:ascii="Times New Roman" w:hAnsi="Times New Roman" w:cs="Times New Roman"/>
          <w:sz w:val="28"/>
          <w:szCs w:val="28"/>
        </w:rPr>
        <w:t xml:space="preserve">gegen gesetzliche Schranken (§§ 138, </w:t>
      </w:r>
      <w:r>
        <w:rPr>
          <w:rFonts w:ascii="Times New Roman" w:hAnsi="Times New Roman" w:cs="Times New Roman"/>
          <w:sz w:val="28"/>
          <w:szCs w:val="28"/>
        </w:rPr>
        <w:t>226, 242, 826 BGB) verstößt</w:t>
      </w:r>
    </w:p>
    <w:p w14:paraId="3D05720B" w14:textId="32F7C8EF" w:rsidR="0040559B" w:rsidRDefault="00212E7A" w:rsidP="007904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oder wenn</w:t>
      </w:r>
      <w:r w:rsidRPr="00212E7A">
        <w:rPr>
          <w:rFonts w:ascii="Times New Roman" w:hAnsi="Times New Roman" w:cs="Times New Roman"/>
          <w:sz w:val="28"/>
          <w:szCs w:val="28"/>
        </w:rPr>
        <w:t xml:space="preserve"> sich das Abstimmungsverhalten einzelner Gesellschafter bei Abwägung der einzustellenden Interessen als Verstoß gegen die Treuepflicht der Gesellschafter erweist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2E7A">
        <w:rPr>
          <w:rFonts w:ascii="Times New Roman" w:hAnsi="Times New Roman" w:cs="Times New Roman"/>
          <w:sz w:val="28"/>
          <w:szCs w:val="28"/>
        </w:rPr>
        <w:t>.</w:t>
      </w:r>
      <w:r w:rsidR="00405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4D6F5" w14:textId="77777777" w:rsidR="0040559B" w:rsidRDefault="0040559B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72902" w14:textId="77777777" w:rsidR="00D92B75" w:rsidRPr="00B1417D" w:rsidRDefault="0040559B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 aber k</w:t>
      </w:r>
      <w:r w:rsidR="00166DE9">
        <w:rPr>
          <w:rFonts w:ascii="Times New Roman" w:hAnsi="Times New Roman" w:cs="Times New Roman"/>
          <w:sz w:val="28"/>
          <w:szCs w:val="28"/>
        </w:rPr>
        <w:t xml:space="preserve">eine </w:t>
      </w:r>
      <w:r>
        <w:rPr>
          <w:rFonts w:ascii="Times New Roman" w:hAnsi="Times New Roman" w:cs="Times New Roman"/>
          <w:sz w:val="28"/>
          <w:szCs w:val="28"/>
        </w:rPr>
        <w:t xml:space="preserve">besondere </w:t>
      </w:r>
      <w:r w:rsidR="00166DE9">
        <w:rPr>
          <w:rFonts w:ascii="Times New Roman" w:hAnsi="Times New Roman" w:cs="Times New Roman"/>
          <w:sz w:val="28"/>
          <w:szCs w:val="28"/>
        </w:rPr>
        <w:t>Treupflichtverstöße oder Verstöße gegen Gleichbehandlungsgrundsatz erkennbar.</w:t>
      </w:r>
    </w:p>
    <w:p w14:paraId="321CE774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809AF" w14:textId="77777777" w:rsidR="00D92B75" w:rsidRPr="00B1417D" w:rsidRDefault="00D92B75" w:rsidP="00D92B75">
      <w:pPr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 xml:space="preserve">Also: </w:t>
      </w:r>
      <w:r w:rsidR="00166DE9">
        <w:rPr>
          <w:rFonts w:ascii="Times New Roman" w:hAnsi="Times New Roman" w:cs="Times New Roman"/>
          <w:sz w:val="28"/>
          <w:szCs w:val="28"/>
        </w:rPr>
        <w:t>materielle Wirksamkeit (+)</w:t>
      </w:r>
    </w:p>
    <w:p w14:paraId="75C84F6B" w14:textId="77777777" w:rsidR="00D92B75" w:rsidRPr="00B1417D" w:rsidRDefault="00D92B75" w:rsidP="00D92B75">
      <w:pPr>
        <w:rPr>
          <w:rFonts w:ascii="Times New Roman" w:hAnsi="Times New Roman" w:cs="Times New Roman"/>
          <w:sz w:val="28"/>
          <w:szCs w:val="28"/>
        </w:rPr>
      </w:pPr>
    </w:p>
    <w:p w14:paraId="209BBBB3" w14:textId="77777777" w:rsidR="00D92B75" w:rsidRPr="00B1417D" w:rsidRDefault="00D92B75" w:rsidP="00D92B75">
      <w:pPr>
        <w:rPr>
          <w:rFonts w:ascii="Times New Roman" w:hAnsi="Times New Roman" w:cs="Times New Roman"/>
          <w:b/>
          <w:sz w:val="28"/>
          <w:szCs w:val="28"/>
        </w:rPr>
      </w:pPr>
      <w:r w:rsidRPr="00B1417D">
        <w:rPr>
          <w:rFonts w:ascii="Times New Roman" w:hAnsi="Times New Roman" w:cs="Times New Roman"/>
          <w:b/>
          <w:sz w:val="28"/>
          <w:szCs w:val="28"/>
        </w:rPr>
        <w:t xml:space="preserve">Ergebnis: </w:t>
      </w:r>
    </w:p>
    <w:p w14:paraId="117C9760" w14:textId="77777777" w:rsidR="00D92B75" w:rsidRPr="00B1417D" w:rsidRDefault="00D92B75" w:rsidP="00D92B75">
      <w:pPr>
        <w:rPr>
          <w:rFonts w:ascii="Times New Roman" w:hAnsi="Times New Roman" w:cs="Times New Roman"/>
          <w:sz w:val="28"/>
          <w:szCs w:val="28"/>
        </w:rPr>
      </w:pPr>
    </w:p>
    <w:p w14:paraId="73C7ED14" w14:textId="77777777" w:rsidR="00D92B75" w:rsidRPr="00B1417D" w:rsidRDefault="00D92B75" w:rsidP="001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B1417D">
        <w:rPr>
          <w:rFonts w:ascii="Times New Roman" w:hAnsi="Times New Roman" w:cs="Times New Roman"/>
          <w:sz w:val="28"/>
          <w:szCs w:val="28"/>
        </w:rPr>
        <w:t>Der Beschluss über die Jahresabschlussfeststellung ist in die Mehrheitsklausel implizit einbezogen. Deshalb ist hier keine Einstimmigkeit erforderlich. Der Beschluss ist somit nicht nichtig.</w:t>
      </w:r>
    </w:p>
    <w:p w14:paraId="57DF02BD" w14:textId="77777777" w:rsidR="00D92B75" w:rsidRPr="00B1417D" w:rsidRDefault="00D92B75" w:rsidP="008E1F96">
      <w:pPr>
        <w:rPr>
          <w:rFonts w:ascii="Times New Roman" w:hAnsi="Times New Roman" w:cs="Times New Roman"/>
          <w:sz w:val="28"/>
          <w:szCs w:val="28"/>
        </w:rPr>
      </w:pPr>
    </w:p>
    <w:p w14:paraId="2178EAD9" w14:textId="77777777" w:rsidR="00D92B75" w:rsidRPr="00B1417D" w:rsidRDefault="00D92B75" w:rsidP="008E1F96">
      <w:pPr>
        <w:rPr>
          <w:rFonts w:ascii="Times New Roman" w:hAnsi="Times New Roman" w:cs="Times New Roman"/>
          <w:sz w:val="28"/>
          <w:szCs w:val="28"/>
        </w:rPr>
      </w:pPr>
    </w:p>
    <w:p w14:paraId="36D646AC" w14:textId="77777777" w:rsidR="00C77F62" w:rsidRPr="00B1417D" w:rsidRDefault="00C77F62">
      <w:pPr>
        <w:rPr>
          <w:rFonts w:ascii="Times New Roman" w:hAnsi="Times New Roman" w:cs="Times New Roman"/>
          <w:sz w:val="28"/>
          <w:szCs w:val="28"/>
        </w:rPr>
      </w:pPr>
    </w:p>
    <w:sectPr w:rsidR="00C77F62" w:rsidRPr="00B1417D" w:rsidSect="003F5B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13B4" w14:textId="77777777" w:rsidR="00B1417D" w:rsidRDefault="00B1417D" w:rsidP="008E1F96">
      <w:r>
        <w:separator/>
      </w:r>
    </w:p>
  </w:endnote>
  <w:endnote w:type="continuationSeparator" w:id="0">
    <w:p w14:paraId="251BCB33" w14:textId="77777777" w:rsidR="00B1417D" w:rsidRDefault="00B1417D" w:rsidP="008E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0508" w14:textId="77777777" w:rsidR="00B1417D" w:rsidRDefault="00B1417D" w:rsidP="008E1F96">
      <w:r>
        <w:separator/>
      </w:r>
    </w:p>
  </w:footnote>
  <w:footnote w:type="continuationSeparator" w:id="0">
    <w:p w14:paraId="2936C89A" w14:textId="77777777" w:rsidR="00B1417D" w:rsidRDefault="00B1417D" w:rsidP="008E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17C"/>
    <w:multiLevelType w:val="hybridMultilevel"/>
    <w:tmpl w:val="CC5800A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10E8F"/>
    <w:multiLevelType w:val="hybridMultilevel"/>
    <w:tmpl w:val="9BE2A518"/>
    <w:lvl w:ilvl="0" w:tplc="5E2413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87C"/>
    <w:multiLevelType w:val="hybridMultilevel"/>
    <w:tmpl w:val="6EC84D90"/>
    <w:lvl w:ilvl="0" w:tplc="346C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9A4"/>
    <w:multiLevelType w:val="hybridMultilevel"/>
    <w:tmpl w:val="3BC66BE2"/>
    <w:lvl w:ilvl="0" w:tplc="BC3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0894"/>
    <w:multiLevelType w:val="hybridMultilevel"/>
    <w:tmpl w:val="7E8C5136"/>
    <w:lvl w:ilvl="0" w:tplc="9EB640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D4506"/>
    <w:multiLevelType w:val="hybridMultilevel"/>
    <w:tmpl w:val="E914608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96"/>
    <w:rsid w:val="00006705"/>
    <w:rsid w:val="00166DE9"/>
    <w:rsid w:val="00212E7A"/>
    <w:rsid w:val="003F5BF2"/>
    <w:rsid w:val="0040559B"/>
    <w:rsid w:val="00790453"/>
    <w:rsid w:val="00825147"/>
    <w:rsid w:val="008E1F96"/>
    <w:rsid w:val="0092615F"/>
    <w:rsid w:val="009A3B0B"/>
    <w:rsid w:val="00B1417D"/>
    <w:rsid w:val="00C77F62"/>
    <w:rsid w:val="00D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357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8E1F96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8E1F96"/>
  </w:style>
  <w:style w:type="character" w:styleId="Funotenzeichen">
    <w:name w:val="footnote reference"/>
    <w:basedOn w:val="Absatzstandardschriftart"/>
    <w:uiPriority w:val="99"/>
    <w:unhideWhenUsed/>
    <w:rsid w:val="008E1F96"/>
    <w:rPr>
      <w:vertAlign w:val="superscript"/>
    </w:rPr>
  </w:style>
  <w:style w:type="table" w:styleId="Tabellenraster">
    <w:name w:val="Table Grid"/>
    <w:basedOn w:val="NormaleTabelle"/>
    <w:uiPriority w:val="59"/>
    <w:rsid w:val="008E1F9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14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05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8E1F96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8E1F96"/>
  </w:style>
  <w:style w:type="character" w:styleId="Funotenzeichen">
    <w:name w:val="footnote reference"/>
    <w:basedOn w:val="Absatzstandardschriftart"/>
    <w:uiPriority w:val="99"/>
    <w:unhideWhenUsed/>
    <w:rsid w:val="008E1F96"/>
    <w:rPr>
      <w:vertAlign w:val="superscript"/>
    </w:rPr>
  </w:style>
  <w:style w:type="table" w:styleId="Tabellenraster">
    <w:name w:val="Table Grid"/>
    <w:basedOn w:val="NormaleTabelle"/>
    <w:uiPriority w:val="59"/>
    <w:rsid w:val="008E1F9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514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05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4260</Characters>
  <Application>Microsoft Macintosh Word</Application>
  <DocSecurity>0</DocSecurity>
  <Lines>35</Lines>
  <Paragraphs>9</Paragraphs>
  <ScaleCrop>false</ScaleCrop>
  <Company>Universität zu Köln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Mitarbeiter2</dc:creator>
  <cp:keywords/>
  <dc:description/>
  <cp:lastModifiedBy>Mitarbeiter2</cp:lastModifiedBy>
  <cp:revision>5</cp:revision>
  <dcterms:created xsi:type="dcterms:W3CDTF">2015-01-21T09:14:00Z</dcterms:created>
  <dcterms:modified xsi:type="dcterms:W3CDTF">2015-01-21T10:45:00Z</dcterms:modified>
</cp:coreProperties>
</file>